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07" w:rsidRPr="00DF0F07" w:rsidRDefault="00DF0F07" w:rsidP="00DF0F07">
      <w:pPr>
        <w:widowControl/>
        <w:jc w:val="center"/>
        <w:outlineLvl w:val="0"/>
        <w:rPr>
          <w:rFonts w:ascii="微软雅黑" w:eastAsia="微软雅黑" w:hAnsi="微软雅黑" w:cs="宋体" w:hint="eastAsia"/>
          <w:b/>
          <w:bCs/>
          <w:kern w:val="36"/>
          <w:sz w:val="27"/>
          <w:szCs w:val="27"/>
        </w:rPr>
      </w:pPr>
      <w:r w:rsidRPr="00DF0F07">
        <w:rPr>
          <w:rFonts w:ascii="微软雅黑" w:eastAsia="微软雅黑" w:hAnsi="微软雅黑" w:cs="宋体" w:hint="eastAsia"/>
          <w:b/>
          <w:bCs/>
          <w:kern w:val="36"/>
          <w:sz w:val="27"/>
          <w:szCs w:val="27"/>
        </w:rPr>
        <w:t>信息技术服务标准（ITSS）符合性评估管理办法 （2020年修订版）</w:t>
      </w:r>
    </w:p>
    <w:p w:rsidR="00DF0F07" w:rsidRPr="00DF0F07" w:rsidRDefault="00DF0F07" w:rsidP="00DF0F07">
      <w:pPr>
        <w:widowControl/>
        <w:spacing w:before="100" w:beforeAutospacing="1" w:after="100" w:afterAutospacing="1" w:line="360" w:lineRule="atLeast"/>
        <w:jc w:val="center"/>
        <w:rPr>
          <w:rFonts w:ascii="微软雅黑" w:eastAsia="微软雅黑" w:hAnsi="微软雅黑" w:cs="宋体" w:hint="eastAsia"/>
          <w:b/>
          <w:kern w:val="0"/>
          <w:szCs w:val="21"/>
        </w:rPr>
      </w:pPr>
      <w:r w:rsidRPr="00DF0F07">
        <w:rPr>
          <w:rFonts w:ascii="黑体" w:eastAsia="黑体" w:hAnsi="黑体" w:cs="宋体" w:hint="eastAsia"/>
          <w:b/>
          <w:kern w:val="0"/>
          <w:sz w:val="32"/>
          <w:szCs w:val="32"/>
        </w:rPr>
        <w:t>第一章</w:t>
      </w:r>
      <w:r w:rsidRPr="00DF0F07">
        <w:rPr>
          <w:rFonts w:ascii="Times New Roman" w:eastAsia="黑体" w:hAnsi="Times New Roman" w:cs="Times New Roman"/>
          <w:b/>
          <w:kern w:val="0"/>
          <w:sz w:val="14"/>
          <w:szCs w:val="14"/>
        </w:rPr>
        <w:t>    </w:t>
      </w:r>
      <w:r w:rsidRPr="00DF0F07">
        <w:rPr>
          <w:rFonts w:ascii="黑体" w:eastAsia="黑体" w:hAnsi="黑体" w:cs="宋体" w:hint="eastAsia"/>
          <w:b/>
          <w:kern w:val="0"/>
          <w:sz w:val="32"/>
          <w:szCs w:val="32"/>
        </w:rPr>
        <w:t>总则</w:t>
      </w:r>
    </w:p>
    <w:p w:rsidR="00DF0F07" w:rsidRPr="00DF0F07" w:rsidRDefault="00DF0F07" w:rsidP="00DF0F07">
      <w:pPr>
        <w:widowControl/>
        <w:spacing w:before="100" w:beforeAutospacing="1" w:after="100" w:afterAutospacing="1"/>
        <w:ind w:firstLine="70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第一条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为规范信息技术服务标准符合</w:t>
      </w:r>
      <w:bookmarkStart w:id="0" w:name="_GoBack"/>
      <w:bookmarkEnd w:id="0"/>
      <w:r w:rsidRPr="00DF0F07">
        <w:rPr>
          <w:rFonts w:ascii="仿宋" w:eastAsia="仿宋" w:hAnsi="仿宋" w:cs="宋体" w:hint="eastAsia"/>
          <w:kern w:val="0"/>
          <w:sz w:val="32"/>
          <w:szCs w:val="32"/>
        </w:rPr>
        <w:t>性评估工作，保证信息技术服务质量，全面提升信息技术服务能力，推动我国信息技术服务业的健康有序发展，制定本办法。</w:t>
      </w:r>
    </w:p>
    <w:p w:rsidR="00DF0F07" w:rsidRPr="00DF0F07" w:rsidRDefault="00DF0F07" w:rsidP="00DF0F07">
      <w:pPr>
        <w:widowControl/>
        <w:spacing w:before="100" w:beforeAutospacing="1" w:after="100" w:afterAutospacing="1"/>
        <w:ind w:firstLine="70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本办法所称信息技术服务标准（ITSS）是指由政府部门和行业组织发布的，以全面规范信息技术服务产品及其组成要素，指导实施标准化和</w:t>
      </w:r>
      <w:proofErr w:type="gramStart"/>
      <w:r w:rsidRPr="00DF0F07">
        <w:rPr>
          <w:rFonts w:ascii="仿宋" w:eastAsia="仿宋" w:hAnsi="仿宋" w:cs="宋体" w:hint="eastAsia"/>
          <w:kern w:val="0"/>
          <w:sz w:val="32"/>
          <w:szCs w:val="32"/>
        </w:rPr>
        <w:t>可</w:t>
      </w:r>
      <w:proofErr w:type="gramEnd"/>
      <w:r w:rsidRPr="00DF0F07">
        <w:rPr>
          <w:rFonts w:ascii="仿宋" w:eastAsia="仿宋" w:hAnsi="仿宋" w:cs="宋体" w:hint="eastAsia"/>
          <w:kern w:val="0"/>
          <w:sz w:val="32"/>
          <w:szCs w:val="32"/>
        </w:rPr>
        <w:t>信赖信息技术服务的一系列标准（含国家标准、行业标准和团体标准），包括基础标准、支撑标准、基于业务的需求侧和供给</w:t>
      </w:r>
      <w:proofErr w:type="gramStart"/>
      <w:r w:rsidRPr="00DF0F07">
        <w:rPr>
          <w:rFonts w:ascii="仿宋" w:eastAsia="仿宋" w:hAnsi="仿宋" w:cs="宋体" w:hint="eastAsia"/>
          <w:kern w:val="0"/>
          <w:sz w:val="32"/>
          <w:szCs w:val="32"/>
        </w:rPr>
        <w:t>侧标准</w:t>
      </w:r>
      <w:proofErr w:type="gramEnd"/>
      <w:r w:rsidRPr="00DF0F07">
        <w:rPr>
          <w:rFonts w:ascii="仿宋" w:eastAsia="仿宋" w:hAnsi="仿宋" w:cs="宋体" w:hint="eastAsia"/>
          <w:kern w:val="0"/>
          <w:sz w:val="32"/>
          <w:szCs w:val="32"/>
        </w:rPr>
        <w:t>等内容，覆盖战略规划、设计实现、运营提升、退役终止和监督管理的信息技术服务生存周期。</w:t>
      </w:r>
    </w:p>
    <w:p w:rsidR="00DF0F07" w:rsidRPr="00DF0F07" w:rsidRDefault="00DF0F07" w:rsidP="00DF0F07">
      <w:pPr>
        <w:widowControl/>
        <w:spacing w:before="100" w:beforeAutospacing="1" w:after="100" w:afterAutospacing="1"/>
        <w:ind w:firstLine="705"/>
        <w:jc w:val="left"/>
        <w:rPr>
          <w:rFonts w:ascii="微软雅黑" w:eastAsia="微软雅黑" w:hAnsi="微软雅黑" w:cs="宋体" w:hint="eastAsia"/>
          <w:color w:val="666666"/>
          <w:kern w:val="0"/>
          <w:szCs w:val="21"/>
        </w:rPr>
      </w:pPr>
      <w:r w:rsidRPr="00DF0F07">
        <w:rPr>
          <w:rFonts w:ascii="仿宋" w:eastAsia="仿宋" w:hAnsi="仿宋" w:cs="宋体" w:hint="eastAsia"/>
          <w:b/>
          <w:bCs/>
          <w:kern w:val="0"/>
          <w:sz w:val="32"/>
          <w:szCs w:val="32"/>
        </w:rPr>
        <w:t>第三条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本办法所称符合性评估是指由中国电子工业标准化技术协会信息技术服务分会（以下称ITSS分会）组织证明申请单位在某一领域的信息技术服务能力符合相关标准的活动。</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第四条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本办法所称评估机构是指经ITSS分会确认，具备从事符合性评估能力的社会团体、企业和事业单位等法人组织。</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lastRenderedPageBreak/>
        <w:t>第五条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本办法所称评估人员是指经ITSS分会确认，具备从事符合性评估能力的人员。</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第六条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ITSS分会根据各领域标准的发布情况,制定相应的符合性评估实施细则。</w:t>
      </w:r>
    </w:p>
    <w:p w:rsidR="00DF0F07" w:rsidRPr="00DF0F07" w:rsidRDefault="00DF0F07" w:rsidP="00DF0F07">
      <w:pPr>
        <w:widowControl/>
        <w:spacing w:before="150" w:after="150"/>
        <w:jc w:val="center"/>
        <w:rPr>
          <w:rFonts w:ascii="微软雅黑" w:eastAsia="微软雅黑" w:hAnsi="微软雅黑" w:cs="宋体" w:hint="eastAsia"/>
          <w:kern w:val="0"/>
          <w:szCs w:val="21"/>
        </w:rPr>
      </w:pPr>
      <w:r w:rsidRPr="00DF0F07">
        <w:rPr>
          <w:rFonts w:ascii="黑体" w:eastAsia="黑体" w:hAnsi="黑体" w:cs="宋体" w:hint="eastAsia"/>
          <w:kern w:val="0"/>
          <w:sz w:val="32"/>
          <w:szCs w:val="32"/>
        </w:rPr>
        <w:t>第二章</w:t>
      </w:r>
      <w:r w:rsidRPr="00DF0F07">
        <w:rPr>
          <w:rFonts w:ascii="Times New Roman" w:eastAsia="黑体" w:hAnsi="Times New Roman" w:cs="Times New Roman"/>
          <w:kern w:val="0"/>
          <w:sz w:val="14"/>
          <w:szCs w:val="14"/>
        </w:rPr>
        <w:t>    </w:t>
      </w:r>
      <w:r w:rsidRPr="00DF0F07">
        <w:rPr>
          <w:rFonts w:ascii="黑体" w:eastAsia="黑体" w:hAnsi="黑体" w:cs="宋体" w:hint="eastAsia"/>
          <w:kern w:val="0"/>
          <w:sz w:val="32"/>
          <w:szCs w:val="32"/>
        </w:rPr>
        <w:t>组织机构和人员管理</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第七条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ITSS分会负责组织实施和管理符合性评估工作，主要职责包括：</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（一）制定符合性评估相关管理文件；</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（二） 确认评估机构，对其符合性评估活动实施监督和检查；</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（三）确认评估人员，对其符合性评估行为实施监督和检查；</w:t>
      </w:r>
    </w:p>
    <w:p w:rsidR="00DF0F07" w:rsidRPr="00DF0F07" w:rsidRDefault="00DF0F07" w:rsidP="00DF0F07">
      <w:pPr>
        <w:widowControl/>
        <w:spacing w:before="100" w:beforeAutospacing="1" w:after="100" w:afterAutospacing="1"/>
        <w:ind w:left="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（四）组织实施符合性评估相关活动。</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第八条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评估机构分为</w:t>
      </w:r>
      <w:proofErr w:type="gramStart"/>
      <w:r w:rsidRPr="00DF0F07">
        <w:rPr>
          <w:rFonts w:ascii="仿宋" w:eastAsia="仿宋" w:hAnsi="仿宋" w:cs="宋体" w:hint="eastAsia"/>
          <w:kern w:val="0"/>
          <w:sz w:val="32"/>
          <w:szCs w:val="32"/>
        </w:rPr>
        <w:t>行业级</w:t>
      </w:r>
      <w:proofErr w:type="gramEnd"/>
      <w:r w:rsidRPr="00DF0F07">
        <w:rPr>
          <w:rFonts w:ascii="仿宋" w:eastAsia="仿宋" w:hAnsi="仿宋" w:cs="宋体" w:hint="eastAsia"/>
          <w:kern w:val="0"/>
          <w:sz w:val="32"/>
          <w:szCs w:val="32"/>
        </w:rPr>
        <w:t>评估机构和地方级评估机构。</w:t>
      </w:r>
      <w:proofErr w:type="gramStart"/>
      <w:r w:rsidRPr="00DF0F07">
        <w:rPr>
          <w:rFonts w:ascii="仿宋" w:eastAsia="仿宋" w:hAnsi="仿宋" w:cs="宋体" w:hint="eastAsia"/>
          <w:kern w:val="0"/>
          <w:sz w:val="32"/>
          <w:szCs w:val="32"/>
        </w:rPr>
        <w:t>行业级</w:t>
      </w:r>
      <w:proofErr w:type="gramEnd"/>
      <w:r w:rsidRPr="00DF0F07">
        <w:rPr>
          <w:rFonts w:ascii="仿宋" w:eastAsia="仿宋" w:hAnsi="仿宋" w:cs="宋体" w:hint="eastAsia"/>
          <w:kern w:val="0"/>
          <w:sz w:val="32"/>
          <w:szCs w:val="32"/>
        </w:rPr>
        <w:t>评估机构可在全国范围内从事符合性评估工作。地方级评估机构可在本地区从事符合性评估工作。原则上一个地区只确认一家地方级评估机构。</w:t>
      </w:r>
    </w:p>
    <w:p w:rsidR="00DF0F07" w:rsidRPr="00DF0F07" w:rsidRDefault="00DF0F07" w:rsidP="00DF0F07">
      <w:pPr>
        <w:widowControl/>
        <w:spacing w:before="100" w:beforeAutospacing="1" w:after="100" w:afterAutospacing="1"/>
        <w:ind w:left="45" w:firstLine="600"/>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lastRenderedPageBreak/>
        <w:t>评估机构确认和管理的具体规定见ITSS分会制定发布的《信息技术服务标准(ITSS)符合性评估机构管理办法》。</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第九条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评估人员分为专职评估人员和独立评估人员。评估人员确认和管理的具体规定见ITSS分会制定发布的《信息技术服务标准(ITSS)符合性评估人员管理办法》。</w:t>
      </w:r>
    </w:p>
    <w:p w:rsidR="00DF0F07" w:rsidRPr="00DF0F07" w:rsidRDefault="00DF0F07" w:rsidP="00DF0F07">
      <w:pPr>
        <w:widowControl/>
        <w:spacing w:before="150" w:after="150"/>
        <w:jc w:val="center"/>
        <w:rPr>
          <w:rFonts w:ascii="微软雅黑" w:eastAsia="微软雅黑" w:hAnsi="微软雅黑" w:cs="宋体" w:hint="eastAsia"/>
          <w:kern w:val="0"/>
          <w:szCs w:val="21"/>
        </w:rPr>
      </w:pPr>
      <w:r w:rsidRPr="00DF0F07">
        <w:rPr>
          <w:rFonts w:ascii="黑体" w:eastAsia="黑体" w:hAnsi="黑体" w:cs="宋体" w:hint="eastAsia"/>
          <w:kern w:val="0"/>
          <w:sz w:val="32"/>
          <w:szCs w:val="32"/>
        </w:rPr>
        <w:t>第三章</w:t>
      </w:r>
      <w:r w:rsidRPr="00DF0F07">
        <w:rPr>
          <w:rFonts w:ascii="Times New Roman" w:eastAsia="黑体" w:hAnsi="Times New Roman" w:cs="Times New Roman"/>
          <w:kern w:val="0"/>
          <w:sz w:val="14"/>
          <w:szCs w:val="14"/>
        </w:rPr>
        <w:t>    </w:t>
      </w:r>
      <w:r w:rsidRPr="00DF0F07">
        <w:rPr>
          <w:rFonts w:ascii="黑体" w:eastAsia="黑体" w:hAnsi="黑体" w:cs="宋体" w:hint="eastAsia"/>
          <w:kern w:val="0"/>
          <w:sz w:val="32"/>
          <w:szCs w:val="32"/>
        </w:rPr>
        <w:t>申请条件和评估程序</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申请符合性评估的单位（以下称申请单位）应具备下列基本条件：</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（一）具有独立法人地位；</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（二）已按照相关领域的标准建立了服务能力体系，且已有效运行6个月以上；</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kern w:val="0"/>
          <w:sz w:val="32"/>
          <w:szCs w:val="32"/>
        </w:rPr>
        <w:t>（三）能够提供相关领域信息技术服务的能力管理、人员、资源、技术、过程等有效证据。</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第十一条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申请单位应根据自身已建立和实施的信息技术服务能力体系情况，确定申请符合性评估的领域。一个申请单位可同时申请多个领域的标准符合性评估，但一个领域不能同时申请多个标准的符合性评估。</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lastRenderedPageBreak/>
        <w:t>第十二条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申请单位应在通过自评后，向评估机构申请第三方评估。</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第十三条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评估机构实施评估后出具符合性评估报告，报告有效期1年。评估机构应在报告有效期内向ITSS分会提交符合性评估申请材料和评估材料。</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第十四条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ITSS分会组织对申请材料和评估材料进行复核或评审。</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第十五条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对通过复核或评审的申请单位，ITSS分会在工作平台进行公示。ITSS分会在工作平台公布符合性评估结果，并颁发符合性证书（以下称证书）。</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第十六条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评估活动的具体要求见ITSS分会制定发布的《信息技术服务标准（ITSS）符合性评估规范》。</w:t>
      </w:r>
    </w:p>
    <w:p w:rsidR="00DF0F07" w:rsidRPr="00DF0F07" w:rsidRDefault="00DF0F07" w:rsidP="00DF0F07">
      <w:pPr>
        <w:widowControl/>
        <w:spacing w:before="150" w:after="150"/>
        <w:jc w:val="center"/>
        <w:rPr>
          <w:rFonts w:ascii="微软雅黑" w:eastAsia="微软雅黑" w:hAnsi="微软雅黑" w:cs="宋体" w:hint="eastAsia"/>
          <w:kern w:val="0"/>
          <w:szCs w:val="21"/>
        </w:rPr>
      </w:pPr>
      <w:r w:rsidRPr="00DF0F07">
        <w:rPr>
          <w:rFonts w:ascii="黑体" w:eastAsia="黑体" w:hAnsi="黑体" w:cs="宋体" w:hint="eastAsia"/>
          <w:kern w:val="0"/>
          <w:sz w:val="32"/>
          <w:szCs w:val="32"/>
        </w:rPr>
        <w:t>第四章</w:t>
      </w:r>
      <w:r w:rsidRPr="00DF0F07">
        <w:rPr>
          <w:rFonts w:ascii="Times New Roman" w:eastAsia="黑体" w:hAnsi="Times New Roman" w:cs="Times New Roman"/>
          <w:kern w:val="0"/>
          <w:sz w:val="14"/>
          <w:szCs w:val="14"/>
        </w:rPr>
        <w:t>    </w:t>
      </w:r>
      <w:r w:rsidRPr="00DF0F07">
        <w:rPr>
          <w:rFonts w:ascii="黑体" w:eastAsia="黑体" w:hAnsi="黑体" w:cs="宋体" w:hint="eastAsia"/>
          <w:kern w:val="0"/>
          <w:sz w:val="32"/>
          <w:szCs w:val="32"/>
        </w:rPr>
        <w:t>证书管理</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第十七条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证书是获证单位的信息技术服务能力符合相关标准的证明。</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第十八条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证书有效期3年，获证单位需延续证书有效期的，应在证书有效期期满前提交再评估申请，再评估程序同初次评估。通过再评估的获证单位，ITSS分会换发新证书。未完成再评估的获证单位，证书到期后自动注销。</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lastRenderedPageBreak/>
        <w:t>第十九条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获证单位在证书有效期内发生名称、地址等一般变更，应在变更发生之日起30日内，向ITSS分会提出证书变更申请。ITSS分会核实后办理证书变更手续。</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获证单位在证书有效期内发生分立、合并、重组或业务调整等重大变更，可向ITSS分会提出证书变更申请。对符合变更要求的，ITSS分会组织变更评估，通过变更评估的换发新证书。</w:t>
      </w:r>
    </w:p>
    <w:p w:rsidR="00DF0F07" w:rsidRPr="00DF0F07" w:rsidRDefault="00DF0F07" w:rsidP="00DF0F07">
      <w:pPr>
        <w:widowControl/>
        <w:spacing w:before="150" w:after="150"/>
        <w:jc w:val="center"/>
        <w:rPr>
          <w:rFonts w:ascii="微软雅黑" w:eastAsia="微软雅黑" w:hAnsi="微软雅黑" w:cs="宋体" w:hint="eastAsia"/>
          <w:kern w:val="0"/>
          <w:szCs w:val="21"/>
        </w:rPr>
      </w:pPr>
      <w:r w:rsidRPr="00DF0F07">
        <w:rPr>
          <w:rFonts w:ascii="黑体" w:eastAsia="黑体" w:hAnsi="黑体" w:cs="宋体" w:hint="eastAsia"/>
          <w:kern w:val="0"/>
          <w:sz w:val="32"/>
          <w:szCs w:val="32"/>
        </w:rPr>
        <w:t>第五章</w:t>
      </w:r>
      <w:r w:rsidRPr="00DF0F07">
        <w:rPr>
          <w:rFonts w:ascii="Times New Roman" w:eastAsia="黑体" w:hAnsi="Times New Roman" w:cs="Times New Roman"/>
          <w:kern w:val="0"/>
          <w:sz w:val="14"/>
          <w:szCs w:val="14"/>
        </w:rPr>
        <w:t>    </w:t>
      </w:r>
      <w:r w:rsidRPr="00DF0F07">
        <w:rPr>
          <w:rFonts w:ascii="黑体" w:eastAsia="黑体" w:hAnsi="黑体" w:cs="宋体" w:hint="eastAsia"/>
          <w:kern w:val="0"/>
          <w:sz w:val="32"/>
          <w:szCs w:val="32"/>
        </w:rPr>
        <w:t>监督管理、投诉和罚则</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第二十一条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ITSS分会可通过评估机构自评、同行评议、评估结果抽查、征求申请或获证单位意见等方式，对评估机构和评估人员及其评估活动进行监督检查。</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第二十二条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获证单位自获证之日起，每年应接受评估机构实施的监督评估，以保证证书持续有效。</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第二十三条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评估机构完成监督评估后，应向ITSS分会提交监督评估报告和相关材料。ITSS分会对监督评估结果进行确认。</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第二十四条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ITSS分会在工作平台公布监督评估结果。按期完成监督评估的获证单位，其证书持续有效。逾期未完</w:t>
      </w:r>
      <w:proofErr w:type="gramStart"/>
      <w:r w:rsidRPr="00DF0F07">
        <w:rPr>
          <w:rFonts w:ascii="仿宋" w:eastAsia="仿宋" w:hAnsi="仿宋" w:cs="宋体" w:hint="eastAsia"/>
          <w:kern w:val="0"/>
          <w:sz w:val="32"/>
          <w:szCs w:val="32"/>
        </w:rPr>
        <w:lastRenderedPageBreak/>
        <w:t>成监督</w:t>
      </w:r>
      <w:proofErr w:type="gramEnd"/>
      <w:r w:rsidRPr="00DF0F07">
        <w:rPr>
          <w:rFonts w:ascii="仿宋" w:eastAsia="仿宋" w:hAnsi="仿宋" w:cs="宋体" w:hint="eastAsia"/>
          <w:kern w:val="0"/>
          <w:sz w:val="32"/>
          <w:szCs w:val="32"/>
        </w:rPr>
        <w:t>评估的获证单位，证书暂停3个月，3个月后仍未完</w:t>
      </w:r>
      <w:proofErr w:type="gramStart"/>
      <w:r w:rsidRPr="00DF0F07">
        <w:rPr>
          <w:rFonts w:ascii="仿宋" w:eastAsia="仿宋" w:hAnsi="仿宋" w:cs="宋体" w:hint="eastAsia"/>
          <w:kern w:val="0"/>
          <w:sz w:val="32"/>
          <w:szCs w:val="32"/>
        </w:rPr>
        <w:t>成监督</w:t>
      </w:r>
      <w:proofErr w:type="gramEnd"/>
      <w:r w:rsidRPr="00DF0F07">
        <w:rPr>
          <w:rFonts w:ascii="仿宋" w:eastAsia="仿宋" w:hAnsi="仿宋" w:cs="宋体" w:hint="eastAsia"/>
          <w:kern w:val="0"/>
          <w:sz w:val="32"/>
          <w:szCs w:val="32"/>
        </w:rPr>
        <w:t>评估工作的，证书自动注销。</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第二十五条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ITSS分会可对获证单位的信息技术服务能力体系运行、证书使用等情况进行不定期抽查。</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第二十六条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申请单位、评估机构和评估人员对符合性评估结果存在异议，或者申请单位对评估机构、评估人员的评估结论存在异议，可向ITSS分会投诉。</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第二十七条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申请单位发现评估机构和评估人员存在侵害申请单位合法权益的行为，可向ITSS分会投诉。</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第二十八条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申请单位或获证单位在初次评估、再评估、监督评估及变更等活动中，存在弄虚作假、隐瞒事实或不配合相关工作等行为，ITSS分会可视其情节轻重予以警告、暂停评估、降级，暂停或撤销证书等处罚。</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第二十九条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获证单位在证书使用过程中，存在涂改、伪造、租用、借用等行为，ITSS分会可视其情节轻重予以警告、降级，暂停或撤销证书等处罚。</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第三十条</w:t>
      </w:r>
      <w:r w:rsidRPr="00DF0F07">
        <w:rPr>
          <w:rFonts w:ascii="宋体" w:eastAsia="宋体" w:hAnsi="宋体" w:cs="宋体" w:hint="eastAsia"/>
          <w:b/>
          <w:bCs/>
          <w:kern w:val="0"/>
          <w:sz w:val="32"/>
          <w:szCs w:val="32"/>
        </w:rPr>
        <w:t> </w:t>
      </w:r>
      <w:r w:rsidRPr="00DF0F07">
        <w:rPr>
          <w:rFonts w:ascii="仿宋" w:eastAsia="仿宋" w:hAnsi="仿宋" w:cs="宋体" w:hint="eastAsia"/>
          <w:kern w:val="0"/>
          <w:sz w:val="32"/>
          <w:szCs w:val="32"/>
        </w:rPr>
        <w:t>评估机构及评估人员在评估活动中，存在玩忽职守、营私舞弊、索贿受贿、弄虚作假及侵害申请单位合</w:t>
      </w:r>
      <w:r w:rsidRPr="00DF0F07">
        <w:rPr>
          <w:rFonts w:ascii="仿宋" w:eastAsia="仿宋" w:hAnsi="仿宋" w:cs="宋体" w:hint="eastAsia"/>
          <w:kern w:val="0"/>
          <w:sz w:val="32"/>
          <w:szCs w:val="32"/>
        </w:rPr>
        <w:lastRenderedPageBreak/>
        <w:t>法权益等行为，ITSS分会可视情节轻重予以警告、暂停或终止其评估活动等处罚。</w:t>
      </w:r>
    </w:p>
    <w:p w:rsidR="00DF0F07" w:rsidRPr="00DF0F07" w:rsidRDefault="00DF0F07" w:rsidP="00DF0F07">
      <w:pPr>
        <w:widowControl/>
        <w:spacing w:before="150" w:after="150"/>
        <w:jc w:val="center"/>
        <w:rPr>
          <w:rFonts w:ascii="微软雅黑" w:eastAsia="微软雅黑" w:hAnsi="微软雅黑" w:cs="宋体" w:hint="eastAsia"/>
          <w:kern w:val="0"/>
          <w:szCs w:val="21"/>
        </w:rPr>
      </w:pPr>
      <w:r w:rsidRPr="00DF0F07">
        <w:rPr>
          <w:rFonts w:ascii="黑体" w:eastAsia="黑体" w:hAnsi="黑体" w:cs="宋体" w:hint="eastAsia"/>
          <w:kern w:val="0"/>
          <w:sz w:val="32"/>
          <w:szCs w:val="32"/>
        </w:rPr>
        <w:t>第六章</w:t>
      </w:r>
      <w:r w:rsidRPr="00DF0F07">
        <w:rPr>
          <w:rFonts w:ascii="Times New Roman" w:eastAsia="黑体" w:hAnsi="Times New Roman" w:cs="Times New Roman"/>
          <w:kern w:val="0"/>
          <w:sz w:val="14"/>
          <w:szCs w:val="14"/>
        </w:rPr>
        <w:t>    </w:t>
      </w:r>
      <w:r w:rsidRPr="00DF0F07">
        <w:rPr>
          <w:rFonts w:ascii="黑体" w:eastAsia="黑体" w:hAnsi="黑体" w:cs="宋体" w:hint="eastAsia"/>
          <w:kern w:val="0"/>
          <w:sz w:val="32"/>
          <w:szCs w:val="32"/>
        </w:rPr>
        <w:t>附则</w:t>
      </w:r>
    </w:p>
    <w:p w:rsidR="00DF0F07" w:rsidRPr="00DF0F07" w:rsidRDefault="00DF0F07" w:rsidP="00DF0F07">
      <w:pPr>
        <w:widowControl/>
        <w:spacing w:before="100" w:beforeAutospacing="1" w:after="100" w:afterAutospacing="1"/>
        <w:ind w:firstLine="645"/>
        <w:jc w:val="left"/>
        <w:rPr>
          <w:rFonts w:ascii="微软雅黑" w:eastAsia="微软雅黑" w:hAnsi="微软雅黑" w:cs="宋体" w:hint="eastAsia"/>
          <w:kern w:val="0"/>
          <w:szCs w:val="21"/>
        </w:rPr>
      </w:pPr>
      <w:r w:rsidRPr="00DF0F07">
        <w:rPr>
          <w:rFonts w:ascii="仿宋" w:eastAsia="仿宋" w:hAnsi="仿宋" w:cs="宋体" w:hint="eastAsia"/>
          <w:b/>
          <w:bCs/>
          <w:kern w:val="0"/>
          <w:sz w:val="32"/>
          <w:szCs w:val="32"/>
        </w:rPr>
        <w:t>第三十一条</w:t>
      </w:r>
      <w:r w:rsidRPr="00DF0F07">
        <w:rPr>
          <w:rFonts w:ascii="Times New Roman" w:eastAsia="仿宋" w:hAnsi="Times New Roman" w:cs="Times New Roman"/>
          <w:kern w:val="0"/>
          <w:sz w:val="14"/>
          <w:szCs w:val="14"/>
        </w:rPr>
        <w:t>  </w:t>
      </w:r>
      <w:r w:rsidRPr="00DF0F07">
        <w:rPr>
          <w:rFonts w:ascii="仿宋" w:eastAsia="仿宋" w:hAnsi="仿宋" w:cs="宋体" w:hint="eastAsia"/>
          <w:kern w:val="0"/>
          <w:sz w:val="32"/>
          <w:szCs w:val="32"/>
        </w:rPr>
        <w:t>本办法由ITSS分会负责解释。</w:t>
      </w:r>
    </w:p>
    <w:p w:rsidR="003913AB" w:rsidRPr="00DF0F07" w:rsidRDefault="003913AB"/>
    <w:sectPr w:rsidR="003913AB" w:rsidRPr="00DF0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47C"/>
    <w:multiLevelType w:val="multilevel"/>
    <w:tmpl w:val="11EB247C"/>
    <w:lvl w:ilvl="0">
      <w:start w:val="1"/>
      <w:numFmt w:val="chineseCountingThousand"/>
      <w:suff w:val="nothing"/>
      <w:lvlText w:val="第%1章  "/>
      <w:lvlJc w:val="left"/>
      <w:pPr>
        <w:ind w:left="0" w:firstLine="0"/>
      </w:pPr>
      <w:rPr>
        <w:rFonts w:ascii="Times New Roman" w:eastAsia="宋体" w:hAnsi="Times New Roman" w:hint="default"/>
        <w:b/>
        <w:i w:val="0"/>
        <w:sz w:val="32"/>
      </w:rPr>
    </w:lvl>
    <w:lvl w:ilvl="1">
      <w:start w:val="1"/>
      <w:numFmt w:val="chineseCountingThousand"/>
      <w:suff w:val="nothing"/>
      <w:lvlText w:val="第%2节  "/>
      <w:lvlJc w:val="left"/>
      <w:pPr>
        <w:ind w:left="-6663" w:firstLine="0"/>
      </w:pPr>
      <w:rPr>
        <w:rFonts w:ascii="Times New Roman" w:eastAsia="黑体" w:hAnsi="Times New Roman" w:hint="default"/>
        <w:b w:val="0"/>
        <w:i w:val="0"/>
        <w:sz w:val="28"/>
      </w:rPr>
    </w:lvl>
    <w:lvl w:ilvl="2">
      <w:start w:val="1"/>
      <w:numFmt w:val="decimal"/>
      <w:suff w:val="nothing"/>
      <w:lvlText w:val="%3. "/>
      <w:lvlJc w:val="left"/>
      <w:pPr>
        <w:ind w:left="-6663" w:firstLine="0"/>
      </w:pPr>
      <w:rPr>
        <w:rFonts w:ascii="Arial" w:eastAsia="黑体" w:hAnsi="Arial" w:hint="default"/>
        <w:b w:val="0"/>
        <w:i w:val="0"/>
        <w:sz w:val="24"/>
      </w:rPr>
    </w:lvl>
    <w:lvl w:ilvl="3">
      <w:start w:val="1"/>
      <w:numFmt w:val="decimal"/>
      <w:suff w:val="nothing"/>
      <w:lvlText w:val="（%4）"/>
      <w:lvlJc w:val="left"/>
      <w:pPr>
        <w:ind w:left="-6663" w:firstLine="0"/>
      </w:pPr>
      <w:rPr>
        <w:rFonts w:ascii="Times New Roman" w:eastAsia="宋体" w:hAnsi="Times New Roman" w:hint="default"/>
        <w:b/>
        <w:i w:val="0"/>
        <w:sz w:val="24"/>
      </w:rPr>
    </w:lvl>
    <w:lvl w:ilvl="4">
      <w:start w:val="1"/>
      <w:numFmt w:val="none"/>
      <w:suff w:val="nothing"/>
      <w:lvlText w:val=""/>
      <w:lvlJc w:val="left"/>
      <w:pPr>
        <w:ind w:left="-6663" w:firstLine="0"/>
      </w:pPr>
      <w:rPr>
        <w:rFonts w:hint="eastAsia"/>
      </w:rPr>
    </w:lvl>
    <w:lvl w:ilvl="5">
      <w:start w:val="1"/>
      <w:numFmt w:val="none"/>
      <w:suff w:val="nothing"/>
      <w:lvlText w:val=""/>
      <w:lvlJc w:val="left"/>
      <w:pPr>
        <w:ind w:left="-6663" w:firstLine="0"/>
      </w:pPr>
      <w:rPr>
        <w:rFonts w:hint="eastAsia"/>
      </w:rPr>
    </w:lvl>
    <w:lvl w:ilvl="6">
      <w:start w:val="1"/>
      <w:numFmt w:val="none"/>
      <w:suff w:val="nothing"/>
      <w:lvlText w:val=""/>
      <w:lvlJc w:val="left"/>
      <w:pPr>
        <w:ind w:left="-6663" w:firstLine="0"/>
      </w:pPr>
      <w:rPr>
        <w:rFonts w:hint="eastAsia"/>
      </w:rPr>
    </w:lvl>
    <w:lvl w:ilvl="7">
      <w:start w:val="1"/>
      <w:numFmt w:val="none"/>
      <w:suff w:val="nothing"/>
      <w:lvlText w:val=""/>
      <w:lvlJc w:val="left"/>
      <w:pPr>
        <w:ind w:left="-6663" w:firstLine="0"/>
      </w:pPr>
      <w:rPr>
        <w:rFonts w:hint="eastAsia"/>
      </w:rPr>
    </w:lvl>
    <w:lvl w:ilvl="8">
      <w:start w:val="1"/>
      <w:numFmt w:val="none"/>
      <w:suff w:val="nothing"/>
      <w:lvlText w:val=""/>
      <w:lvlJc w:val="left"/>
      <w:pPr>
        <w:ind w:left="-666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28"/>
    <w:rsid w:val="003913AB"/>
    <w:rsid w:val="00620128"/>
    <w:rsid w:val="00911522"/>
    <w:rsid w:val="00DF0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0F0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0"/>
    <w:link w:val="2Char"/>
    <w:qFormat/>
    <w:rsid w:val="00911522"/>
    <w:pPr>
      <w:keepNext/>
      <w:keepLines/>
      <w:spacing w:before="120" w:after="120" w:line="415" w:lineRule="auto"/>
      <w:jc w:val="left"/>
      <w:outlineLvl w:val="1"/>
    </w:pPr>
    <w:rPr>
      <w:rFonts w:ascii="Times New Roman" w:eastAsia="宋体" w:hAnsi="Times New Roman"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911522"/>
    <w:rPr>
      <w:rFonts w:ascii="Times New Roman" w:eastAsia="宋体" w:hAnsi="Times New Roman" w:cs="Times New Roman"/>
      <w:b/>
      <w:bCs/>
      <w:sz w:val="28"/>
      <w:szCs w:val="32"/>
    </w:rPr>
  </w:style>
  <w:style w:type="paragraph" w:styleId="a0">
    <w:name w:val="Body Text"/>
    <w:basedOn w:val="a"/>
    <w:link w:val="Char"/>
    <w:uiPriority w:val="99"/>
    <w:semiHidden/>
    <w:unhideWhenUsed/>
    <w:rsid w:val="00911522"/>
    <w:pPr>
      <w:spacing w:after="120"/>
    </w:pPr>
  </w:style>
  <w:style w:type="character" w:customStyle="1" w:styleId="Char">
    <w:name w:val="正文文本 Char"/>
    <w:basedOn w:val="a1"/>
    <w:link w:val="a0"/>
    <w:uiPriority w:val="99"/>
    <w:semiHidden/>
    <w:rsid w:val="00911522"/>
  </w:style>
  <w:style w:type="character" w:customStyle="1" w:styleId="1Char">
    <w:name w:val="标题 1 Char"/>
    <w:basedOn w:val="a1"/>
    <w:link w:val="1"/>
    <w:uiPriority w:val="9"/>
    <w:rsid w:val="00DF0F07"/>
    <w:rPr>
      <w:rFonts w:ascii="宋体" w:eastAsia="宋体" w:hAnsi="宋体" w:cs="宋体"/>
      <w:b/>
      <w:bCs/>
      <w:kern w:val="36"/>
      <w:sz w:val="48"/>
      <w:szCs w:val="48"/>
    </w:rPr>
  </w:style>
  <w:style w:type="paragraph" w:styleId="a4">
    <w:name w:val="Normal (Web)"/>
    <w:basedOn w:val="a"/>
    <w:uiPriority w:val="99"/>
    <w:semiHidden/>
    <w:unhideWhenUsed/>
    <w:rsid w:val="00DF0F0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1"/>
    <w:uiPriority w:val="22"/>
    <w:qFormat/>
    <w:rsid w:val="00DF0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0F0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0"/>
    <w:link w:val="2Char"/>
    <w:qFormat/>
    <w:rsid w:val="00911522"/>
    <w:pPr>
      <w:keepNext/>
      <w:keepLines/>
      <w:spacing w:before="120" w:after="120" w:line="415" w:lineRule="auto"/>
      <w:jc w:val="left"/>
      <w:outlineLvl w:val="1"/>
    </w:pPr>
    <w:rPr>
      <w:rFonts w:ascii="Times New Roman" w:eastAsia="宋体" w:hAnsi="Times New Roman"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911522"/>
    <w:rPr>
      <w:rFonts w:ascii="Times New Roman" w:eastAsia="宋体" w:hAnsi="Times New Roman" w:cs="Times New Roman"/>
      <w:b/>
      <w:bCs/>
      <w:sz w:val="28"/>
      <w:szCs w:val="32"/>
    </w:rPr>
  </w:style>
  <w:style w:type="paragraph" w:styleId="a0">
    <w:name w:val="Body Text"/>
    <w:basedOn w:val="a"/>
    <w:link w:val="Char"/>
    <w:uiPriority w:val="99"/>
    <w:semiHidden/>
    <w:unhideWhenUsed/>
    <w:rsid w:val="00911522"/>
    <w:pPr>
      <w:spacing w:after="120"/>
    </w:pPr>
  </w:style>
  <w:style w:type="character" w:customStyle="1" w:styleId="Char">
    <w:name w:val="正文文本 Char"/>
    <w:basedOn w:val="a1"/>
    <w:link w:val="a0"/>
    <w:uiPriority w:val="99"/>
    <w:semiHidden/>
    <w:rsid w:val="00911522"/>
  </w:style>
  <w:style w:type="character" w:customStyle="1" w:styleId="1Char">
    <w:name w:val="标题 1 Char"/>
    <w:basedOn w:val="a1"/>
    <w:link w:val="1"/>
    <w:uiPriority w:val="9"/>
    <w:rsid w:val="00DF0F07"/>
    <w:rPr>
      <w:rFonts w:ascii="宋体" w:eastAsia="宋体" w:hAnsi="宋体" w:cs="宋体"/>
      <w:b/>
      <w:bCs/>
      <w:kern w:val="36"/>
      <w:sz w:val="48"/>
      <w:szCs w:val="48"/>
    </w:rPr>
  </w:style>
  <w:style w:type="paragraph" w:styleId="a4">
    <w:name w:val="Normal (Web)"/>
    <w:basedOn w:val="a"/>
    <w:uiPriority w:val="99"/>
    <w:semiHidden/>
    <w:unhideWhenUsed/>
    <w:rsid w:val="00DF0F0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1"/>
    <w:uiPriority w:val="22"/>
    <w:qFormat/>
    <w:rsid w:val="00DF0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369</Words>
  <Characters>2107</Characters>
  <Application>Microsoft Office Word</Application>
  <DocSecurity>0</DocSecurity>
  <Lines>17</Lines>
  <Paragraphs>4</Paragraphs>
  <ScaleCrop>false</ScaleCrop>
  <Company>P R C</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2020-09-09T07:38:00Z</dcterms:created>
  <dcterms:modified xsi:type="dcterms:W3CDTF">2020-09-09T07:43:00Z</dcterms:modified>
</cp:coreProperties>
</file>